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42" w:rsidRDefault="00337142" w:rsidP="006238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b/>
          <w:color w:val="2E74B5" w:themeColor="accent1" w:themeShade="BF"/>
          <w:sz w:val="28"/>
          <w:szCs w:val="28"/>
        </w:rPr>
        <w:t>Sample Family Business Protocol</w:t>
      </w:r>
    </w:p>
    <w:p w:rsidR="00ED25E6" w:rsidRDefault="00ED25E6" w:rsidP="006238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Cs w:val="28"/>
        </w:rPr>
      </w:pPr>
    </w:p>
    <w:p w:rsidR="00071632" w:rsidRDefault="00071632" w:rsidP="006238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Kindly find below an example of Family Business Protocol</w:t>
      </w:r>
    </w:p>
    <w:p w:rsidR="00071632" w:rsidRPr="00071632" w:rsidRDefault="00071632" w:rsidP="006238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8"/>
        </w:rPr>
      </w:pPr>
    </w:p>
    <w:p w:rsidR="006238F0" w:rsidRPr="00337142" w:rsidRDefault="006238F0" w:rsidP="006238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Cs w:val="28"/>
        </w:rPr>
      </w:pPr>
      <w:r w:rsidRPr="00337142">
        <w:rPr>
          <w:rFonts w:ascii="Arial Narrow" w:hAnsi="Arial Narrow" w:cs="Arial"/>
          <w:b/>
          <w:szCs w:val="28"/>
        </w:rPr>
        <w:t xml:space="preserve">The </w:t>
      </w:r>
      <w:proofErr w:type="spellStart"/>
      <w:r w:rsidRPr="00337142">
        <w:rPr>
          <w:rFonts w:ascii="Arial Narrow" w:hAnsi="Arial Narrow" w:cs="Arial"/>
          <w:b/>
          <w:szCs w:val="28"/>
        </w:rPr>
        <w:t>Carvajal</w:t>
      </w:r>
      <w:proofErr w:type="spellEnd"/>
      <w:r w:rsidRPr="00337142">
        <w:rPr>
          <w:rFonts w:ascii="Arial Narrow" w:hAnsi="Arial Narrow" w:cs="Arial"/>
          <w:b/>
          <w:szCs w:val="28"/>
        </w:rPr>
        <w:t xml:space="preserve"> Group Family Protocol</w:t>
      </w:r>
    </w:p>
    <w:p w:rsidR="003A5187" w:rsidRDefault="00ED25E6" w:rsidP="00ED25E6">
      <w:pPr>
        <w:rPr>
          <w:rStyle w:val="Hyperlink"/>
          <w:rFonts w:ascii="Arial Narrow" w:hAnsi="Arial Narrow" w:cs="Arial"/>
          <w:spacing w:val="4"/>
          <w:sz w:val="20"/>
          <w:szCs w:val="20"/>
          <w:shd w:val="clear" w:color="auto" w:fill="FFFFFF"/>
        </w:rPr>
      </w:pPr>
      <w:r w:rsidRPr="00ED25E6">
        <w:rPr>
          <w:rFonts w:ascii="CenturyGothic" w:hAnsi="CenturyGothic" w:cs="CenturyGothic"/>
          <w:sz w:val="16"/>
          <w:szCs w:val="16"/>
        </w:rPr>
        <w:t>Excerpts from</w:t>
      </w:r>
      <w:r w:rsidRPr="00ED25E6">
        <w:rPr>
          <w:rFonts w:ascii="Arial Narrow" w:hAnsi="Arial Narrow" w:cs="Arial"/>
          <w:color w:val="000000" w:themeColor="text1"/>
          <w:spacing w:val="4"/>
          <w:sz w:val="20"/>
          <w:szCs w:val="20"/>
          <w:shd w:val="clear" w:color="auto" w:fill="FFFFFF"/>
        </w:rPr>
        <w:t xml:space="preserve"> </w:t>
      </w:r>
      <w:hyperlink r:id="rId5" w:history="1">
        <w:r w:rsidRPr="00ED25E6">
          <w:rPr>
            <w:rStyle w:val="Hyperlink"/>
            <w:rFonts w:ascii="Arial Narrow" w:hAnsi="Arial Narrow" w:cs="Arial"/>
            <w:spacing w:val="4"/>
            <w:sz w:val="20"/>
            <w:szCs w:val="20"/>
            <w:shd w:val="clear" w:color="auto" w:fill="FFFFFF"/>
          </w:rPr>
          <w:t>IFC Family Business Governance Handbook</w:t>
        </w:r>
      </w:hyperlink>
    </w:p>
    <w:p w:rsidR="006238F0" w:rsidRDefault="006238F0" w:rsidP="00337142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 xml:space="preserve">The </w:t>
      </w:r>
      <w:proofErr w:type="spellStart"/>
      <w:r>
        <w:rPr>
          <w:rFonts w:ascii="CenturyGothic" w:hAnsi="CenturyGothic" w:cs="CenturyGothic"/>
          <w:sz w:val="16"/>
          <w:szCs w:val="16"/>
        </w:rPr>
        <w:t>Carvajal</w:t>
      </w:r>
      <w:proofErr w:type="spellEnd"/>
      <w:r>
        <w:rPr>
          <w:rFonts w:ascii="CenturyGothic" w:hAnsi="CenturyGothic" w:cs="CenturyGothic"/>
          <w:sz w:val="16"/>
          <w:szCs w:val="16"/>
        </w:rPr>
        <w:t xml:space="preserve"> Group is a leading privately-owned Colombian multinational company</w:t>
      </w:r>
      <w:r w:rsidR="00337142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 xml:space="preserve">with businesses in 19 countries, primarily in Latin America. The </w:t>
      </w:r>
      <w:proofErr w:type="spellStart"/>
      <w:r>
        <w:rPr>
          <w:rFonts w:ascii="CenturyGothic" w:hAnsi="CenturyGothic" w:cs="CenturyGothic"/>
          <w:sz w:val="16"/>
          <w:szCs w:val="16"/>
        </w:rPr>
        <w:t>Carvajal</w:t>
      </w:r>
      <w:proofErr w:type="spellEnd"/>
      <w:r>
        <w:rPr>
          <w:rFonts w:ascii="CenturyGothic" w:hAnsi="CenturyGothic" w:cs="CenturyGothic"/>
          <w:sz w:val="16"/>
          <w:szCs w:val="16"/>
        </w:rPr>
        <w:t xml:space="preserve"> Group</w:t>
      </w:r>
      <w:r w:rsidR="00337142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>operates in 12 different sectors, the largest of which are: paper manufacturing and</w:t>
      </w:r>
      <w:r w:rsidR="00337142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>conversion; school and office supplies; telephone directories; publishing and editing;</w:t>
      </w:r>
      <w:r w:rsidR="00337142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>and plastic and paper packaging.</w:t>
      </w:r>
      <w:r w:rsidR="00337142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 xml:space="preserve">The </w:t>
      </w:r>
      <w:proofErr w:type="spellStart"/>
      <w:r>
        <w:rPr>
          <w:rFonts w:ascii="CenturyGothic" w:hAnsi="CenturyGothic" w:cs="CenturyGothic"/>
          <w:sz w:val="16"/>
          <w:szCs w:val="16"/>
        </w:rPr>
        <w:t>Carvajal</w:t>
      </w:r>
      <w:proofErr w:type="spellEnd"/>
      <w:r>
        <w:rPr>
          <w:rFonts w:ascii="CenturyGothic" w:hAnsi="CenturyGothic" w:cs="CenturyGothic"/>
          <w:sz w:val="16"/>
          <w:szCs w:val="16"/>
        </w:rPr>
        <w:t xml:space="preserve"> Group was founded in 1904 in Cali, Colombia, by Manuel </w:t>
      </w:r>
      <w:proofErr w:type="spellStart"/>
      <w:r>
        <w:rPr>
          <w:rFonts w:ascii="CenturyGothic" w:hAnsi="CenturyGothic" w:cs="CenturyGothic"/>
          <w:sz w:val="16"/>
          <w:szCs w:val="16"/>
        </w:rPr>
        <w:t>Carvajal</w:t>
      </w:r>
      <w:proofErr w:type="spellEnd"/>
      <w:r w:rsidR="00337142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 xml:space="preserve">Valencia who established a printing company called La </w:t>
      </w:r>
      <w:proofErr w:type="spellStart"/>
      <w:r>
        <w:rPr>
          <w:rFonts w:ascii="CenturyGothic" w:hAnsi="CenturyGothic" w:cs="CenturyGothic"/>
          <w:sz w:val="16"/>
          <w:szCs w:val="16"/>
        </w:rPr>
        <w:t>Imprenta</w:t>
      </w:r>
      <w:proofErr w:type="spellEnd"/>
      <w:r>
        <w:rPr>
          <w:rFonts w:ascii="CenturyGothic" w:hAnsi="CenturyGothic" w:cs="CenturyGothic"/>
          <w:sz w:val="16"/>
          <w:szCs w:val="16"/>
        </w:rPr>
        <w:t xml:space="preserve"> </w:t>
      </w:r>
      <w:proofErr w:type="spellStart"/>
      <w:r>
        <w:rPr>
          <w:rFonts w:ascii="CenturyGothic" w:hAnsi="CenturyGothic" w:cs="CenturyGothic"/>
          <w:sz w:val="16"/>
          <w:szCs w:val="16"/>
        </w:rPr>
        <w:t>Comercial</w:t>
      </w:r>
      <w:proofErr w:type="spellEnd"/>
      <w:r>
        <w:rPr>
          <w:rFonts w:ascii="CenturyGothic" w:hAnsi="CenturyGothic" w:cs="CenturyGothic"/>
          <w:sz w:val="16"/>
          <w:szCs w:val="16"/>
        </w:rPr>
        <w:t>. Over</w:t>
      </w:r>
      <w:r w:rsidR="00ED25E6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>time, the company expanded into other businesses and regions to become one of</w:t>
      </w:r>
      <w:r w:rsidR="00337142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>Latin America’s most respected multinational firms.</w:t>
      </w:r>
      <w:r w:rsidR="00ED25E6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 xml:space="preserve">IFC’s two investments in the </w:t>
      </w:r>
      <w:proofErr w:type="spellStart"/>
      <w:r>
        <w:rPr>
          <w:rFonts w:ascii="CenturyGothic" w:hAnsi="CenturyGothic" w:cs="CenturyGothic"/>
          <w:sz w:val="16"/>
          <w:szCs w:val="16"/>
        </w:rPr>
        <w:t>Carvajal</w:t>
      </w:r>
      <w:proofErr w:type="spellEnd"/>
      <w:r>
        <w:rPr>
          <w:rFonts w:ascii="CenturyGothic" w:hAnsi="CenturyGothic" w:cs="CenturyGothic"/>
          <w:sz w:val="16"/>
          <w:szCs w:val="16"/>
        </w:rPr>
        <w:t xml:space="preserve"> Group, in 2004 and 2006, had a purpose of</w:t>
      </w:r>
      <w:r w:rsidR="00337142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>supporting the Group in its strategic and modernization plans. The most recent IFC</w:t>
      </w:r>
      <w:r w:rsidR="00337142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 xml:space="preserve">investment in the </w:t>
      </w:r>
      <w:proofErr w:type="spellStart"/>
      <w:r>
        <w:rPr>
          <w:rFonts w:ascii="CenturyGothic" w:hAnsi="CenturyGothic" w:cs="CenturyGothic"/>
          <w:sz w:val="16"/>
          <w:szCs w:val="16"/>
        </w:rPr>
        <w:t>Carvajal</w:t>
      </w:r>
      <w:proofErr w:type="spellEnd"/>
      <w:r>
        <w:rPr>
          <w:rFonts w:ascii="CenturyGothic" w:hAnsi="CenturyGothic" w:cs="CenturyGothic"/>
          <w:sz w:val="16"/>
          <w:szCs w:val="16"/>
        </w:rPr>
        <w:t xml:space="preserve"> Group is related to the revamping and modernization of</w:t>
      </w:r>
      <w:r w:rsidR="00337142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 xml:space="preserve">the Group’s information systems. IFC has also provided advice to the </w:t>
      </w:r>
      <w:proofErr w:type="spellStart"/>
      <w:r>
        <w:rPr>
          <w:rFonts w:ascii="CenturyGothic" w:hAnsi="CenturyGothic" w:cs="CenturyGothic"/>
          <w:sz w:val="16"/>
          <w:szCs w:val="16"/>
        </w:rPr>
        <w:t>Carvajal</w:t>
      </w:r>
      <w:proofErr w:type="spellEnd"/>
      <w:r w:rsidR="00337142">
        <w:rPr>
          <w:rFonts w:ascii="CenturyGothic" w:hAnsi="CenturyGothic" w:cs="CenturyGothic"/>
          <w:sz w:val="16"/>
          <w:szCs w:val="16"/>
        </w:rPr>
        <w:t xml:space="preserve"> </w:t>
      </w:r>
      <w:r>
        <w:rPr>
          <w:rFonts w:ascii="CenturyGothic" w:hAnsi="CenturyGothic" w:cs="CenturyGothic"/>
          <w:sz w:val="16"/>
          <w:szCs w:val="16"/>
        </w:rPr>
        <w:t>Group in the area of corporate governance.</w:t>
      </w:r>
    </w:p>
    <w:p w:rsidR="00337142" w:rsidRDefault="00337142" w:rsidP="00337142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</w:rPr>
      </w:pP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 xml:space="preserve">Table of Contents of the Family Protocol of </w:t>
      </w:r>
      <w:proofErr w:type="gramStart"/>
      <w:r>
        <w:rPr>
          <w:rFonts w:ascii="CenturyGothic-Bold" w:hAnsi="CenturyGothic-Bold" w:cs="CenturyGothic-Bold"/>
          <w:b/>
          <w:bCs/>
          <w:sz w:val="16"/>
          <w:szCs w:val="16"/>
        </w:rPr>
        <w:t>The</w:t>
      </w:r>
      <w:proofErr w:type="gramEnd"/>
      <w:r>
        <w:rPr>
          <w:rFonts w:ascii="CenturyGothic-Bold" w:hAnsi="CenturyGothic-Bold" w:cs="CenturyGothic-Bold"/>
          <w:b/>
          <w:bCs/>
          <w:sz w:val="16"/>
          <w:szCs w:val="16"/>
        </w:rPr>
        <w:t xml:space="preserve"> </w:t>
      </w:r>
      <w:proofErr w:type="spellStart"/>
      <w:r>
        <w:rPr>
          <w:rFonts w:ascii="CenturyGothic-Bold" w:hAnsi="CenturyGothic-Bold" w:cs="CenturyGothic-Bold"/>
          <w:b/>
          <w:bCs/>
          <w:sz w:val="16"/>
          <w:szCs w:val="16"/>
        </w:rPr>
        <w:t>Carvajal</w:t>
      </w:r>
      <w:proofErr w:type="spellEnd"/>
      <w:r>
        <w:rPr>
          <w:rFonts w:ascii="CenturyGothic-Bold" w:hAnsi="CenturyGothic-Bold" w:cs="CenturyGothic-Bold"/>
          <w:b/>
          <w:bCs/>
          <w:sz w:val="16"/>
          <w:szCs w:val="16"/>
        </w:rPr>
        <w:t xml:space="preserve"> Group</w:t>
      </w:r>
    </w:p>
    <w:p w:rsidR="00ED25E6" w:rsidRPr="00ED25E6" w:rsidRDefault="00ED25E6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ED25E6">
        <w:rPr>
          <w:rFonts w:ascii="CenturyGothic" w:hAnsi="CenturyGothic" w:cs="CenturyGothic"/>
          <w:sz w:val="16"/>
          <w:szCs w:val="16"/>
        </w:rPr>
        <w:t xml:space="preserve">Adapted and summarized from the 2002 version of the Family Protocol of The </w:t>
      </w:r>
      <w:proofErr w:type="spellStart"/>
      <w:r w:rsidRPr="00ED25E6">
        <w:rPr>
          <w:rFonts w:ascii="CenturyGothic" w:hAnsi="CenturyGothic" w:cs="CenturyGothic"/>
          <w:sz w:val="16"/>
          <w:szCs w:val="16"/>
        </w:rPr>
        <w:t>Carvajal</w:t>
      </w:r>
      <w:proofErr w:type="spellEnd"/>
      <w:r w:rsidRPr="00ED25E6">
        <w:rPr>
          <w:rFonts w:ascii="CenturyGothic" w:hAnsi="CenturyGothic" w:cs="CenturyGothic"/>
          <w:sz w:val="16"/>
          <w:szCs w:val="16"/>
        </w:rPr>
        <w:t xml:space="preserve"> Group.</w:t>
      </w:r>
    </w:p>
    <w:p w:rsidR="00ED25E6" w:rsidRDefault="00ED25E6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1"/>
          <w:szCs w:val="11"/>
        </w:rPr>
      </w:pP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A. Objective of the Family Protocol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 xml:space="preserve">1. Integrity of the </w:t>
      </w:r>
      <w:proofErr w:type="spellStart"/>
      <w:r>
        <w:rPr>
          <w:rFonts w:ascii="CenturyGothic" w:hAnsi="CenturyGothic" w:cs="CenturyGothic"/>
          <w:sz w:val="16"/>
          <w:szCs w:val="16"/>
        </w:rPr>
        <w:t>Carvajal</w:t>
      </w:r>
      <w:proofErr w:type="spellEnd"/>
      <w:r>
        <w:rPr>
          <w:rFonts w:ascii="CenturyGothic" w:hAnsi="CenturyGothic" w:cs="CenturyGothic"/>
          <w:sz w:val="16"/>
          <w:szCs w:val="16"/>
        </w:rPr>
        <w:t xml:space="preserve"> Company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 xml:space="preserve">2. Unity of the </w:t>
      </w:r>
      <w:proofErr w:type="spellStart"/>
      <w:r>
        <w:rPr>
          <w:rFonts w:ascii="CenturyGothic" w:hAnsi="CenturyGothic" w:cs="CenturyGothic"/>
          <w:sz w:val="16"/>
          <w:szCs w:val="16"/>
        </w:rPr>
        <w:t>Carvajal</w:t>
      </w:r>
      <w:proofErr w:type="spellEnd"/>
      <w:r>
        <w:rPr>
          <w:rFonts w:ascii="CenturyGothic" w:hAnsi="CenturyGothic" w:cs="CenturyGothic"/>
          <w:sz w:val="16"/>
          <w:szCs w:val="16"/>
        </w:rPr>
        <w:t xml:space="preserve"> Family</w:t>
      </w:r>
    </w:p>
    <w:p w:rsidR="00A6220E" w:rsidRDefault="00A6220E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B. Family Institutions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1. Family Assembly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a. Objective of the Family Assembly</w:t>
      </w:r>
    </w:p>
    <w:p w:rsidR="00A6220E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b. Functions of the Family Assembly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2. Family Council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a. Objective of the Family Council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b. Composition of the Family Council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c. Functions of the Family Council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d. Decisions of the Family Council</w:t>
      </w:r>
    </w:p>
    <w:p w:rsidR="00A6220E" w:rsidRDefault="006238F0" w:rsidP="00A6220E">
      <w:pPr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e. Frequency of Meetings of the Family Council</w:t>
      </w:r>
    </w:p>
    <w:p w:rsidR="006238F0" w:rsidRDefault="00A6220E" w:rsidP="00A6220E">
      <w:pPr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 xml:space="preserve">3. </w:t>
      </w:r>
      <w:r w:rsidR="006238F0">
        <w:rPr>
          <w:rFonts w:ascii="CenturyGothic" w:hAnsi="CenturyGothic" w:cs="CenturyGothic"/>
          <w:sz w:val="16"/>
          <w:szCs w:val="16"/>
        </w:rPr>
        <w:t>Council for the Development of Family Members Working in the Company</w:t>
      </w:r>
    </w:p>
    <w:p w:rsidR="006238F0" w:rsidRDefault="006238F0" w:rsidP="00A6220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a. Objective of the Development Council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b. Composition of the Development Council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c. Functions of the Development Council</w:t>
      </w:r>
    </w:p>
    <w:p w:rsidR="00A6220E" w:rsidRDefault="00A6220E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 xml:space="preserve">C. The </w:t>
      </w:r>
      <w:proofErr w:type="spellStart"/>
      <w:r>
        <w:rPr>
          <w:rFonts w:ascii="CenturyGothic-Bold" w:hAnsi="CenturyGothic-Bold" w:cs="CenturyGothic-Bold"/>
          <w:b/>
          <w:bCs/>
          <w:sz w:val="16"/>
          <w:szCs w:val="16"/>
        </w:rPr>
        <w:t>Carvajal</w:t>
      </w:r>
      <w:proofErr w:type="spellEnd"/>
      <w:r>
        <w:rPr>
          <w:rFonts w:ascii="CenturyGothic-Bold" w:hAnsi="CenturyGothic-Bold" w:cs="CenturyGothic-Bold"/>
          <w:b/>
          <w:bCs/>
          <w:sz w:val="16"/>
          <w:szCs w:val="16"/>
        </w:rPr>
        <w:t xml:space="preserve"> Family Foundation (Charity Institution)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1. Objective of the Family Foundation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2. Board of the Family Foundation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3. President of the Family Foundation</w:t>
      </w:r>
    </w:p>
    <w:p w:rsidR="00A6220E" w:rsidRDefault="00A6220E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D. Institutions of the Company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1. Shareholders Meeting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a. Objective of the Shareholders Meeting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b. Decisions of the Shareholders Meeting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2. Board of Directors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a. Objective of the Board of Directors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b. Composition of the Board of Directors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c. Chairman of the Board of Directors</w:t>
      </w:r>
    </w:p>
    <w:p w:rsidR="00A6220E" w:rsidRDefault="00A6220E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E. Management of the Company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1. CEO of the Company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a. Appointment of the CEO of the Company</w:t>
      </w:r>
    </w:p>
    <w:p w:rsidR="00A6220E" w:rsidRDefault="00A6220E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F. Shareholding Policies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1. Sale of Shares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proofErr w:type="gramStart"/>
      <w:r>
        <w:rPr>
          <w:rFonts w:ascii="CenturyGothic" w:hAnsi="CenturyGothic" w:cs="CenturyGothic"/>
          <w:sz w:val="16"/>
          <w:szCs w:val="16"/>
        </w:rPr>
        <w:t>a</w:t>
      </w:r>
      <w:proofErr w:type="gramEnd"/>
      <w:r>
        <w:rPr>
          <w:rFonts w:ascii="CenturyGothic" w:hAnsi="CenturyGothic" w:cs="CenturyGothic"/>
          <w:sz w:val="16"/>
          <w:szCs w:val="16"/>
        </w:rPr>
        <w:t>. Right of First Refusal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b. Conditions of Sale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2. Liens on Shares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3. Issuances of Shares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4. Reserve Fund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a. Objective of the Reserve Fund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b. Board of Directors of the Reserve Fund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5. Conflicts of Interest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a. Investment in Other Companies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b. Transactions with the Company</w:t>
      </w:r>
    </w:p>
    <w:p w:rsidR="006238F0" w:rsidRDefault="006238F0" w:rsidP="006238F0">
      <w:pPr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lastRenderedPageBreak/>
        <w:t>c. Other Activities</w:t>
      </w:r>
    </w:p>
    <w:p w:rsidR="001C09C5" w:rsidRDefault="001C09C5" w:rsidP="006238F0">
      <w:pPr>
        <w:rPr>
          <w:rFonts w:ascii="CenturyGothic" w:hAnsi="CenturyGothic" w:cs="CenturyGothic"/>
          <w:sz w:val="16"/>
          <w:szCs w:val="16"/>
        </w:rPr>
      </w:pP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G. Employment of Family Members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1. Entrance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2. Responsibilities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3. Remuneration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4. Evaluation for Development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5. Retirement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H. Social Dividend (Subsidies for Family Members)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1. Objective of the Social Dividend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2. Components of the Social Dividend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3. Regulation of the Social Dividend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I. Family Activities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1. Social Meetings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2. Informative Meetings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3. Communication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4. History of the Company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J. Relations with the Public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K. Overseer of the Family Protocol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1. Objective of the Overseer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2. Appointment of the Overseer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3. Functions of the Overseer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L. Secretary of the Family Council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1. Objective of the Secretary of the Family Council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2. Appointment of the Secretary of the Family Council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3. Functions of the Secretary of the Family Council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M. Resolution of Conflicts</w:t>
      </w:r>
    </w:p>
    <w:p w:rsidR="006238F0" w:rsidRDefault="006238F0" w:rsidP="006238F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N. Updating of the Family Protocol</w:t>
      </w:r>
    </w:p>
    <w:p w:rsidR="006238F0" w:rsidRDefault="006238F0" w:rsidP="006238F0">
      <w:pPr>
        <w:rPr>
          <w:rFonts w:ascii="CenturyGothic-Bold" w:hAnsi="CenturyGothic-Bold" w:cs="CenturyGothic-Bold"/>
          <w:b/>
          <w:bCs/>
          <w:sz w:val="16"/>
          <w:szCs w:val="16"/>
        </w:rPr>
      </w:pPr>
      <w:r>
        <w:rPr>
          <w:rFonts w:ascii="CenturyGothic-Bold" w:hAnsi="CenturyGothic-Bold" w:cs="CenturyGothic-Bold"/>
          <w:b/>
          <w:bCs/>
          <w:sz w:val="16"/>
          <w:szCs w:val="16"/>
        </w:rPr>
        <w:t>O. Definitions</w:t>
      </w:r>
    </w:p>
    <w:p w:rsidR="003A5187" w:rsidRDefault="003A5187" w:rsidP="003A5187">
      <w:pPr>
        <w:spacing w:after="0" w:line="240" w:lineRule="auto"/>
        <w:rPr>
          <w:rStyle w:val="Hyperlink"/>
          <w:rFonts w:ascii="Arial Narrow" w:hAnsi="Arial Narrow" w:cs="Arial"/>
          <w:color w:val="auto"/>
          <w:spacing w:val="4"/>
          <w:sz w:val="20"/>
          <w:szCs w:val="20"/>
          <w:u w:val="none"/>
          <w:shd w:val="clear" w:color="auto" w:fill="FFFFFF"/>
        </w:rPr>
      </w:pPr>
    </w:p>
    <w:p w:rsidR="003A5187" w:rsidRDefault="003A5187" w:rsidP="006238F0"/>
    <w:sectPr w:rsidR="003A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63470"/>
    <w:multiLevelType w:val="hybridMultilevel"/>
    <w:tmpl w:val="B0E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F0"/>
    <w:rsid w:val="00071632"/>
    <w:rsid w:val="00146DBC"/>
    <w:rsid w:val="001C09C5"/>
    <w:rsid w:val="00337142"/>
    <w:rsid w:val="00376FBD"/>
    <w:rsid w:val="003A5187"/>
    <w:rsid w:val="00585906"/>
    <w:rsid w:val="006238F0"/>
    <w:rsid w:val="006C5A63"/>
    <w:rsid w:val="00A03F8A"/>
    <w:rsid w:val="00A6220E"/>
    <w:rsid w:val="00B502BD"/>
    <w:rsid w:val="00E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2D529-E552-4E38-8622-B2ACD8E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c.org/wps/wcm/connect/topics_ext_content/ifc_external_corporate_site/ifc+cg/resources/toolkits+and+manuals/corporate+governance+scorec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Awena Lebeschu</dc:creator>
  <cp:keywords/>
  <dc:description/>
  <cp:lastModifiedBy>Anna</cp:lastModifiedBy>
  <cp:revision>2</cp:revision>
  <dcterms:created xsi:type="dcterms:W3CDTF">2017-06-15T20:34:00Z</dcterms:created>
  <dcterms:modified xsi:type="dcterms:W3CDTF">2017-06-15T20:34:00Z</dcterms:modified>
</cp:coreProperties>
</file>